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089" w:rsidRPr="004C4F20" w:rsidRDefault="006603C9" w:rsidP="002A2F76">
      <w:pPr>
        <w:ind w:left="-142"/>
        <w:jc w:val="both"/>
        <w:rPr>
          <w:rFonts w:ascii="Arial" w:hAnsi="Arial" w:cs="Arial"/>
        </w:rPr>
      </w:pPr>
      <w:r w:rsidRPr="004C4F20">
        <w:rPr>
          <w:rFonts w:ascii="Arial" w:hAnsi="Arial" w:cs="Arial"/>
        </w:rPr>
        <w:t xml:space="preserve">Doctora </w:t>
      </w:r>
    </w:p>
    <w:p w:rsidR="00B15089" w:rsidRPr="009B7784" w:rsidRDefault="006603C9" w:rsidP="002A2F76">
      <w:pPr>
        <w:ind w:left="-142"/>
        <w:jc w:val="both"/>
        <w:rPr>
          <w:rFonts w:ascii="Arial" w:hAnsi="Arial" w:cs="Arial"/>
          <w:b/>
        </w:rPr>
      </w:pPr>
      <w:r w:rsidRPr="009B7784">
        <w:rPr>
          <w:rFonts w:ascii="Arial" w:hAnsi="Arial" w:cs="Arial"/>
          <w:b/>
        </w:rPr>
        <w:t>CELMIRA MARTIN LIZARAZO</w:t>
      </w:r>
    </w:p>
    <w:p w:rsidR="00B15089" w:rsidRPr="004C4F20" w:rsidRDefault="006603C9" w:rsidP="002A2F76">
      <w:pPr>
        <w:ind w:left="-142"/>
        <w:jc w:val="both"/>
        <w:rPr>
          <w:rFonts w:ascii="Arial" w:hAnsi="Arial" w:cs="Arial"/>
        </w:rPr>
      </w:pPr>
      <w:r w:rsidRPr="004C4F20">
        <w:rPr>
          <w:rFonts w:ascii="Arial" w:hAnsi="Arial" w:cs="Arial"/>
        </w:rPr>
        <w:t>Directora Talento Humano</w:t>
      </w:r>
      <w:r w:rsidR="00B15089" w:rsidRPr="004C4F20">
        <w:rPr>
          <w:rFonts w:ascii="Arial" w:hAnsi="Arial" w:cs="Arial"/>
        </w:rPr>
        <w:t>.</w:t>
      </w:r>
    </w:p>
    <w:p w:rsidR="00B15089" w:rsidRPr="004C4F20" w:rsidRDefault="002839AF" w:rsidP="002A2F76">
      <w:pPr>
        <w:ind w:left="-142"/>
        <w:jc w:val="both"/>
        <w:rPr>
          <w:rFonts w:ascii="Arial" w:hAnsi="Arial" w:cs="Arial"/>
        </w:rPr>
      </w:pPr>
      <w:r w:rsidRPr="004C4F20">
        <w:rPr>
          <w:rFonts w:ascii="Arial" w:hAnsi="Arial" w:cs="Arial"/>
        </w:rPr>
        <w:t>SECRETARIA DE EDUCACIÓN DE BOGOTÁ, D. C.</w:t>
      </w:r>
    </w:p>
    <w:p w:rsidR="00B15089" w:rsidRPr="009B7784" w:rsidRDefault="004C4F20" w:rsidP="002A2F76">
      <w:pPr>
        <w:ind w:left="-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B15089" w:rsidRPr="009B7784" w:rsidRDefault="00B15089" w:rsidP="002A2F76">
      <w:pPr>
        <w:ind w:left="-142"/>
        <w:jc w:val="both"/>
        <w:rPr>
          <w:rFonts w:ascii="Arial" w:hAnsi="Arial" w:cs="Arial"/>
        </w:rPr>
      </w:pPr>
      <w:bookmarkStart w:id="0" w:name="_GoBack"/>
      <w:bookmarkEnd w:id="0"/>
    </w:p>
    <w:p w:rsidR="00964B48" w:rsidRDefault="00964B48" w:rsidP="00964B48">
      <w:pPr>
        <w:tabs>
          <w:tab w:val="left" w:pos="0"/>
        </w:tabs>
        <w:jc w:val="both"/>
        <w:rPr>
          <w:rFonts w:ascii="Arial" w:hAnsi="Arial" w:cs="Arial"/>
        </w:rPr>
      </w:pPr>
    </w:p>
    <w:p w:rsidR="00B15089" w:rsidRPr="009B7784" w:rsidRDefault="00B15089" w:rsidP="00964B48">
      <w:pPr>
        <w:tabs>
          <w:tab w:val="left" w:pos="0"/>
        </w:tabs>
        <w:jc w:val="both"/>
        <w:rPr>
          <w:rFonts w:ascii="Arial" w:hAnsi="Arial" w:cs="Arial"/>
        </w:rPr>
      </w:pPr>
      <w:r w:rsidRPr="009B7784">
        <w:rPr>
          <w:rFonts w:ascii="Arial" w:hAnsi="Arial" w:cs="Arial"/>
        </w:rPr>
        <w:t xml:space="preserve">Referencia: </w:t>
      </w:r>
      <w:r w:rsidRPr="009B7784">
        <w:rPr>
          <w:rFonts w:ascii="Arial" w:hAnsi="Arial" w:cs="Arial"/>
          <w:b/>
        </w:rPr>
        <w:t>Recurso de Reposición  contra la Resolución No. _____________de fecha ______________</w:t>
      </w:r>
      <w:r w:rsidRPr="009B7784">
        <w:rPr>
          <w:rFonts w:ascii="Arial" w:hAnsi="Arial" w:cs="Arial"/>
        </w:rPr>
        <w:t>.</w:t>
      </w:r>
    </w:p>
    <w:p w:rsidR="00B15089" w:rsidRPr="009B7784" w:rsidRDefault="00B15089" w:rsidP="002A2F76">
      <w:pPr>
        <w:ind w:left="-142"/>
        <w:jc w:val="both"/>
        <w:rPr>
          <w:rFonts w:ascii="Arial" w:hAnsi="Arial" w:cs="Arial"/>
        </w:rPr>
      </w:pPr>
    </w:p>
    <w:p w:rsidR="00B15089" w:rsidRPr="009B7784" w:rsidRDefault="00B15089" w:rsidP="002A2F76">
      <w:pPr>
        <w:ind w:left="-142"/>
        <w:jc w:val="both"/>
        <w:rPr>
          <w:rFonts w:ascii="Arial" w:hAnsi="Arial" w:cs="Arial"/>
        </w:rPr>
      </w:pPr>
    </w:p>
    <w:p w:rsidR="00B15089" w:rsidRPr="009B7784" w:rsidRDefault="00B15089" w:rsidP="00964B48">
      <w:pPr>
        <w:ind w:left="-142"/>
        <w:jc w:val="both"/>
        <w:rPr>
          <w:rFonts w:ascii="Arial" w:hAnsi="Arial" w:cs="Arial"/>
        </w:rPr>
      </w:pPr>
      <w:r w:rsidRPr="009B7784">
        <w:rPr>
          <w:rFonts w:ascii="Arial" w:hAnsi="Arial" w:cs="Arial"/>
        </w:rPr>
        <w:t>__________</w:t>
      </w:r>
      <w:r w:rsidR="00964B48">
        <w:rPr>
          <w:rFonts w:ascii="Arial" w:hAnsi="Arial" w:cs="Arial"/>
        </w:rPr>
        <w:softHyphen/>
      </w:r>
      <w:r w:rsidR="00964B48">
        <w:rPr>
          <w:rFonts w:ascii="Arial" w:hAnsi="Arial" w:cs="Arial"/>
        </w:rPr>
        <w:softHyphen/>
      </w:r>
      <w:r w:rsidR="00964B48">
        <w:rPr>
          <w:rFonts w:ascii="Arial" w:hAnsi="Arial" w:cs="Arial"/>
        </w:rPr>
        <w:softHyphen/>
        <w:t>_</w:t>
      </w:r>
      <w:r w:rsidRPr="009B7784">
        <w:rPr>
          <w:rFonts w:ascii="Arial" w:hAnsi="Arial" w:cs="Arial"/>
        </w:rPr>
        <w:t>_____________________, mayor  de edad, vecino</w:t>
      </w:r>
      <w:r w:rsidR="006603C9" w:rsidRPr="009B7784">
        <w:rPr>
          <w:rFonts w:ascii="Arial" w:hAnsi="Arial" w:cs="Arial"/>
        </w:rPr>
        <w:t>(a)</w:t>
      </w:r>
      <w:r w:rsidRPr="009B7784">
        <w:rPr>
          <w:rFonts w:ascii="Arial" w:hAnsi="Arial" w:cs="Arial"/>
        </w:rPr>
        <w:t xml:space="preserve"> y residente en esta ciudad, identificado</w:t>
      </w:r>
      <w:r w:rsidR="006603C9" w:rsidRPr="009B7784">
        <w:rPr>
          <w:rFonts w:ascii="Arial" w:hAnsi="Arial" w:cs="Arial"/>
        </w:rPr>
        <w:t xml:space="preserve">(a) </w:t>
      </w:r>
      <w:r w:rsidRPr="009B7784">
        <w:rPr>
          <w:rFonts w:ascii="Arial" w:hAnsi="Arial" w:cs="Arial"/>
        </w:rPr>
        <w:t>con la cédula de ciudadanía Nº _________</w:t>
      </w:r>
      <w:r w:rsidR="00964B48">
        <w:rPr>
          <w:rFonts w:ascii="Arial" w:hAnsi="Arial" w:cs="Arial"/>
        </w:rPr>
        <w:t>__</w:t>
      </w:r>
      <w:r w:rsidRPr="009B7784">
        <w:rPr>
          <w:rFonts w:ascii="Arial" w:hAnsi="Arial" w:cs="Arial"/>
        </w:rPr>
        <w:t>___ de __</w:t>
      </w:r>
      <w:r w:rsidR="00964B48">
        <w:rPr>
          <w:rFonts w:ascii="Arial" w:hAnsi="Arial" w:cs="Arial"/>
        </w:rPr>
        <w:t>_</w:t>
      </w:r>
      <w:r w:rsidRPr="009B7784">
        <w:rPr>
          <w:rFonts w:ascii="Arial" w:hAnsi="Arial" w:cs="Arial"/>
        </w:rPr>
        <w:t xml:space="preserve">_______, </w:t>
      </w:r>
      <w:r w:rsidR="00522A0C" w:rsidRPr="009B7784">
        <w:rPr>
          <w:rFonts w:ascii="Arial" w:hAnsi="Arial" w:cs="Arial"/>
        </w:rPr>
        <w:t xml:space="preserve">en el término establecido, </w:t>
      </w:r>
      <w:r w:rsidRPr="009B7784">
        <w:rPr>
          <w:rFonts w:ascii="Arial" w:hAnsi="Arial" w:cs="Arial"/>
        </w:rPr>
        <w:t>haciendo uso de</w:t>
      </w:r>
      <w:r w:rsidR="00522A0C" w:rsidRPr="009B7784">
        <w:rPr>
          <w:rFonts w:ascii="Arial" w:hAnsi="Arial" w:cs="Arial"/>
        </w:rPr>
        <w:t xml:space="preserve"> </w:t>
      </w:r>
      <w:r w:rsidRPr="009B7784">
        <w:rPr>
          <w:rFonts w:ascii="Arial" w:hAnsi="Arial" w:cs="Arial"/>
        </w:rPr>
        <w:t>l</w:t>
      </w:r>
      <w:r w:rsidR="00522A0C" w:rsidRPr="009B7784">
        <w:rPr>
          <w:rFonts w:ascii="Arial" w:hAnsi="Arial" w:cs="Arial"/>
        </w:rPr>
        <w:t>os</w:t>
      </w:r>
      <w:r w:rsidRPr="009B7784">
        <w:rPr>
          <w:rFonts w:ascii="Arial" w:hAnsi="Arial" w:cs="Arial"/>
        </w:rPr>
        <w:t xml:space="preserve"> artículo</w:t>
      </w:r>
      <w:r w:rsidR="00522A0C" w:rsidRPr="009B7784">
        <w:rPr>
          <w:rFonts w:ascii="Arial" w:hAnsi="Arial" w:cs="Arial"/>
        </w:rPr>
        <w:t>s</w:t>
      </w:r>
      <w:r w:rsidRPr="009B7784">
        <w:rPr>
          <w:rFonts w:ascii="Arial" w:hAnsi="Arial" w:cs="Arial"/>
        </w:rPr>
        <w:t xml:space="preserve"> 74</w:t>
      </w:r>
      <w:r w:rsidR="00522A0C" w:rsidRPr="009B7784">
        <w:rPr>
          <w:rFonts w:ascii="Arial" w:hAnsi="Arial" w:cs="Arial"/>
        </w:rPr>
        <w:t xml:space="preserve">, 75 y s. s </w:t>
      </w:r>
      <w:r w:rsidRPr="009B7784">
        <w:rPr>
          <w:rFonts w:ascii="Arial" w:hAnsi="Arial" w:cs="Arial"/>
        </w:rPr>
        <w:t xml:space="preserve"> </w:t>
      </w:r>
      <w:r w:rsidR="00522A0C" w:rsidRPr="009B7784">
        <w:rPr>
          <w:rFonts w:ascii="Arial" w:hAnsi="Arial" w:cs="Arial"/>
        </w:rPr>
        <w:t>d</w:t>
      </w:r>
      <w:r w:rsidRPr="009B7784">
        <w:rPr>
          <w:rFonts w:ascii="Arial" w:hAnsi="Arial" w:cs="Arial"/>
        </w:rPr>
        <w:t>e la Ley 1437 de 2011, comedidamente solicito se revoque la Resolución No. ____________</w:t>
      </w:r>
      <w:r w:rsidRPr="009B7784">
        <w:rPr>
          <w:rFonts w:ascii="Arial" w:hAnsi="Arial" w:cs="Arial"/>
          <w:b/>
        </w:rPr>
        <w:t xml:space="preserve"> </w:t>
      </w:r>
      <w:proofErr w:type="gramStart"/>
      <w:r w:rsidRPr="009B7784">
        <w:rPr>
          <w:rFonts w:ascii="Arial" w:hAnsi="Arial" w:cs="Arial"/>
        </w:rPr>
        <w:t>de</w:t>
      </w:r>
      <w:proofErr w:type="gramEnd"/>
      <w:r w:rsidRPr="009B7784">
        <w:rPr>
          <w:rFonts w:ascii="Arial" w:hAnsi="Arial" w:cs="Arial"/>
        </w:rPr>
        <w:t xml:space="preserve"> fecha</w:t>
      </w:r>
      <w:r w:rsidRPr="009B7784">
        <w:rPr>
          <w:rFonts w:ascii="Arial" w:hAnsi="Arial" w:cs="Arial"/>
          <w:b/>
        </w:rPr>
        <w:t xml:space="preserve"> </w:t>
      </w:r>
      <w:r w:rsidRPr="009B7784">
        <w:rPr>
          <w:rFonts w:ascii="Arial" w:hAnsi="Arial" w:cs="Arial"/>
        </w:rPr>
        <w:t>____________, teniendo  en cuenta las siguientes</w:t>
      </w:r>
    </w:p>
    <w:p w:rsidR="00B15089" w:rsidRPr="009B7784" w:rsidRDefault="00B15089" w:rsidP="002A2F76">
      <w:pPr>
        <w:ind w:left="-142"/>
        <w:jc w:val="both"/>
        <w:rPr>
          <w:rFonts w:ascii="Arial" w:hAnsi="Arial" w:cs="Arial"/>
        </w:rPr>
      </w:pPr>
    </w:p>
    <w:p w:rsidR="00B15089" w:rsidRPr="009B7784" w:rsidRDefault="00B15089" w:rsidP="002A2F76">
      <w:pPr>
        <w:ind w:left="-142"/>
        <w:jc w:val="center"/>
        <w:rPr>
          <w:rFonts w:ascii="Arial" w:hAnsi="Arial" w:cs="Arial"/>
          <w:b/>
          <w:smallCaps/>
        </w:rPr>
      </w:pPr>
      <w:r w:rsidRPr="009B7784">
        <w:rPr>
          <w:rFonts w:ascii="Arial" w:hAnsi="Arial" w:cs="Arial"/>
          <w:b/>
          <w:smallCaps/>
        </w:rPr>
        <w:t>CONSIDERACIONES DE HECHO Y DERECHO</w:t>
      </w:r>
    </w:p>
    <w:p w:rsidR="00B15089" w:rsidRPr="009B7784" w:rsidRDefault="00B15089" w:rsidP="002A2F76">
      <w:pPr>
        <w:ind w:left="-142"/>
        <w:jc w:val="center"/>
        <w:rPr>
          <w:rFonts w:ascii="Arial" w:hAnsi="Arial" w:cs="Arial"/>
          <w:b/>
          <w:smallCaps/>
        </w:rPr>
      </w:pPr>
    </w:p>
    <w:p w:rsidR="00B15089" w:rsidRPr="009B7784" w:rsidRDefault="00B15089" w:rsidP="004C4F20">
      <w:pPr>
        <w:numPr>
          <w:ilvl w:val="0"/>
          <w:numId w:val="5"/>
        </w:numPr>
        <w:ind w:left="360"/>
        <w:jc w:val="both"/>
        <w:rPr>
          <w:rFonts w:ascii="Arial" w:hAnsi="Arial" w:cs="Arial"/>
        </w:rPr>
      </w:pPr>
      <w:r w:rsidRPr="009B7784">
        <w:rPr>
          <w:rFonts w:ascii="Arial" w:hAnsi="Arial" w:cs="Arial"/>
        </w:rPr>
        <w:t>Solicité el reconocimiento y pago de la</w:t>
      </w:r>
      <w:r w:rsidR="006603C9" w:rsidRPr="009B7784">
        <w:rPr>
          <w:rFonts w:ascii="Arial" w:hAnsi="Arial" w:cs="Arial"/>
        </w:rPr>
        <w:t xml:space="preserve">s </w:t>
      </w:r>
      <w:r w:rsidR="006603C9" w:rsidRPr="009B7784">
        <w:rPr>
          <w:rFonts w:ascii="Arial" w:hAnsi="Arial" w:cs="Arial"/>
          <w:b/>
        </w:rPr>
        <w:t>primas extralegales</w:t>
      </w:r>
      <w:r w:rsidRPr="009B7784">
        <w:rPr>
          <w:rFonts w:ascii="Arial" w:hAnsi="Arial" w:cs="Arial"/>
        </w:rPr>
        <w:t xml:space="preserve"> </w:t>
      </w:r>
      <w:r w:rsidR="00AF4EBC" w:rsidRPr="009B7784">
        <w:rPr>
          <w:rFonts w:ascii="Arial" w:hAnsi="Arial" w:cs="Arial"/>
        </w:rPr>
        <w:t>(Antigüedad,</w:t>
      </w:r>
      <w:r w:rsidR="00EF5152" w:rsidRPr="009B7784">
        <w:rPr>
          <w:rFonts w:ascii="Arial" w:hAnsi="Arial" w:cs="Arial"/>
        </w:rPr>
        <w:t xml:space="preserve"> semestral y bonificación por servicios prestados</w:t>
      </w:r>
      <w:r w:rsidR="006603C9" w:rsidRPr="009B7784">
        <w:rPr>
          <w:rFonts w:ascii="Arial" w:hAnsi="Arial" w:cs="Arial"/>
        </w:rPr>
        <w:t xml:space="preserve">) bajo el Radicado N°________________ de fecha _______________________ </w:t>
      </w:r>
    </w:p>
    <w:p w:rsidR="00B15089" w:rsidRPr="009B7784" w:rsidRDefault="00B15089" w:rsidP="004C4F20">
      <w:pPr>
        <w:jc w:val="both"/>
        <w:rPr>
          <w:rFonts w:ascii="Arial" w:hAnsi="Arial" w:cs="Arial"/>
        </w:rPr>
      </w:pPr>
    </w:p>
    <w:p w:rsidR="00B15089" w:rsidRPr="009B7784" w:rsidRDefault="00B15089" w:rsidP="004C4F20">
      <w:pPr>
        <w:numPr>
          <w:ilvl w:val="0"/>
          <w:numId w:val="5"/>
        </w:numPr>
        <w:ind w:left="360"/>
        <w:jc w:val="both"/>
        <w:rPr>
          <w:rFonts w:ascii="Arial" w:hAnsi="Arial" w:cs="Arial"/>
        </w:rPr>
      </w:pPr>
      <w:r w:rsidRPr="009B7784">
        <w:rPr>
          <w:rFonts w:ascii="Arial" w:hAnsi="Arial" w:cs="Arial"/>
        </w:rPr>
        <w:t>Por medio de la Resolución No. ______</w:t>
      </w:r>
      <w:r w:rsidR="006603C9" w:rsidRPr="009B7784">
        <w:rPr>
          <w:rFonts w:ascii="Arial" w:hAnsi="Arial" w:cs="Arial"/>
        </w:rPr>
        <w:t>___</w:t>
      </w:r>
      <w:r w:rsidRPr="009B7784">
        <w:rPr>
          <w:rFonts w:ascii="Arial" w:hAnsi="Arial" w:cs="Arial"/>
        </w:rPr>
        <w:t xml:space="preserve">_ de fecha ____________ se </w:t>
      </w:r>
      <w:r w:rsidR="000249DB" w:rsidRPr="009B7784">
        <w:rPr>
          <w:rFonts w:ascii="Arial" w:hAnsi="Arial" w:cs="Arial"/>
        </w:rPr>
        <w:t xml:space="preserve">negó la petición de pago de </w:t>
      </w:r>
      <w:r w:rsidR="00EA707E" w:rsidRPr="009B7784">
        <w:rPr>
          <w:rFonts w:ascii="Arial" w:hAnsi="Arial" w:cs="Arial"/>
        </w:rPr>
        <w:t>las primas de antigüedad, semestral y bonificación por servicios argumentando</w:t>
      </w:r>
      <w:r w:rsidR="00522A0C" w:rsidRPr="009B7784">
        <w:rPr>
          <w:rFonts w:ascii="Arial" w:hAnsi="Arial" w:cs="Arial"/>
        </w:rPr>
        <w:t xml:space="preserve"> entre otras razones, </w:t>
      </w:r>
      <w:r w:rsidR="00EA707E" w:rsidRPr="009B7784">
        <w:rPr>
          <w:rFonts w:ascii="Arial" w:hAnsi="Arial" w:cs="Arial"/>
        </w:rPr>
        <w:t xml:space="preserve">que </w:t>
      </w:r>
      <w:r w:rsidR="00881C1F" w:rsidRPr="009B7784">
        <w:rPr>
          <w:rFonts w:ascii="Arial" w:hAnsi="Arial" w:cs="Arial"/>
        </w:rPr>
        <w:t>“</w:t>
      </w:r>
      <w:r w:rsidR="00EA707E" w:rsidRPr="009B7784">
        <w:rPr>
          <w:rFonts w:ascii="Arial" w:hAnsi="Arial" w:cs="Arial"/>
        </w:rPr>
        <w:t>el régimen de carrera es especial</w:t>
      </w:r>
      <w:r w:rsidR="00881C1F" w:rsidRPr="009B7784">
        <w:rPr>
          <w:rFonts w:ascii="Arial" w:hAnsi="Arial" w:cs="Arial"/>
        </w:rPr>
        <w:t>”</w:t>
      </w:r>
      <w:r w:rsidR="00EA707E" w:rsidRPr="009B7784">
        <w:rPr>
          <w:rFonts w:ascii="Arial" w:hAnsi="Arial" w:cs="Arial"/>
        </w:rPr>
        <w:t>; por supu</w:t>
      </w:r>
      <w:r w:rsidR="00ED59C1" w:rsidRPr="009B7784">
        <w:rPr>
          <w:rFonts w:ascii="Arial" w:hAnsi="Arial" w:cs="Arial"/>
        </w:rPr>
        <w:t>esto que lo es, pero una cosa e</w:t>
      </w:r>
      <w:r w:rsidR="00EA707E" w:rsidRPr="009B7784">
        <w:rPr>
          <w:rFonts w:ascii="Arial" w:hAnsi="Arial" w:cs="Arial"/>
        </w:rPr>
        <w:t>s el Estatuto docente que regula</w:t>
      </w:r>
      <w:r w:rsidR="00ED59C1" w:rsidRPr="009B7784">
        <w:rPr>
          <w:rFonts w:ascii="Arial" w:hAnsi="Arial" w:cs="Arial"/>
        </w:rPr>
        <w:t xml:space="preserve"> las condiciones de </w:t>
      </w:r>
      <w:r w:rsidR="00881C1F" w:rsidRPr="009B7784">
        <w:rPr>
          <w:rFonts w:ascii="Arial" w:hAnsi="Arial" w:cs="Arial"/>
        </w:rPr>
        <w:t xml:space="preserve">ingreso, </w:t>
      </w:r>
      <w:r w:rsidR="00522A0C" w:rsidRPr="009B7784">
        <w:rPr>
          <w:rFonts w:ascii="Arial" w:hAnsi="Arial" w:cs="Arial"/>
        </w:rPr>
        <w:t>e</w:t>
      </w:r>
      <w:r w:rsidR="00881C1F" w:rsidRPr="009B7784">
        <w:rPr>
          <w:rFonts w:ascii="Arial" w:hAnsi="Arial" w:cs="Arial"/>
        </w:rPr>
        <w:t>jercicio</w:t>
      </w:r>
      <w:r w:rsidR="00ED59C1" w:rsidRPr="009B7784">
        <w:rPr>
          <w:rFonts w:ascii="Arial" w:hAnsi="Arial" w:cs="Arial"/>
        </w:rPr>
        <w:t>,</w:t>
      </w:r>
      <w:r w:rsidR="00881C1F" w:rsidRPr="009B7784">
        <w:rPr>
          <w:rFonts w:ascii="Arial" w:hAnsi="Arial" w:cs="Arial"/>
        </w:rPr>
        <w:t xml:space="preserve"> estabilidad, ascenso y retiro de los docentes (Artículo 1° del Decreto </w:t>
      </w:r>
      <w:r w:rsidR="002F778B">
        <w:rPr>
          <w:rFonts w:ascii="Arial" w:hAnsi="Arial" w:cs="Arial"/>
        </w:rPr>
        <w:t>L</w:t>
      </w:r>
      <w:r w:rsidR="00881C1F" w:rsidRPr="009B7784">
        <w:rPr>
          <w:rFonts w:ascii="Arial" w:hAnsi="Arial" w:cs="Arial"/>
        </w:rPr>
        <w:t>ey 2277 de 1979)</w:t>
      </w:r>
      <w:r w:rsidR="002F778B">
        <w:rPr>
          <w:rFonts w:ascii="Arial" w:hAnsi="Arial" w:cs="Arial"/>
        </w:rPr>
        <w:t xml:space="preserve"> </w:t>
      </w:r>
      <w:r w:rsidR="00EA707E" w:rsidRPr="009B7784">
        <w:rPr>
          <w:rFonts w:ascii="Arial" w:hAnsi="Arial" w:cs="Arial"/>
        </w:rPr>
        <w:t>y otra cosa son los derechos laborales</w:t>
      </w:r>
      <w:r w:rsidR="00881C1F" w:rsidRPr="009B7784">
        <w:rPr>
          <w:rFonts w:ascii="Arial" w:hAnsi="Arial" w:cs="Arial"/>
        </w:rPr>
        <w:t>, los cuales estoy exigiendo, en este caso</w:t>
      </w:r>
      <w:r w:rsidR="00522A0C" w:rsidRPr="009B7784">
        <w:rPr>
          <w:rFonts w:ascii="Arial" w:hAnsi="Arial" w:cs="Arial"/>
        </w:rPr>
        <w:t>, el reconocimiento y pago de</w:t>
      </w:r>
      <w:r w:rsidR="00EB3E76">
        <w:rPr>
          <w:rFonts w:ascii="Arial" w:hAnsi="Arial" w:cs="Arial"/>
        </w:rPr>
        <w:t xml:space="preserve"> las primas extralegales peticionadas.</w:t>
      </w:r>
    </w:p>
    <w:p w:rsidR="00881C1F" w:rsidRPr="009B7784" w:rsidRDefault="00881C1F" w:rsidP="004C4F20">
      <w:pPr>
        <w:pStyle w:val="Prrafodelista"/>
        <w:ind w:left="0"/>
        <w:rPr>
          <w:rFonts w:ascii="Arial" w:hAnsi="Arial" w:cs="Arial"/>
        </w:rPr>
      </w:pPr>
    </w:p>
    <w:p w:rsidR="007C7ABE" w:rsidRPr="009B7784" w:rsidRDefault="00881C1F" w:rsidP="004C4F20">
      <w:pPr>
        <w:numPr>
          <w:ilvl w:val="0"/>
          <w:numId w:val="5"/>
        </w:numPr>
        <w:ind w:left="360"/>
        <w:jc w:val="both"/>
        <w:rPr>
          <w:rFonts w:ascii="Arial" w:hAnsi="Arial" w:cs="Arial"/>
        </w:rPr>
      </w:pPr>
      <w:r w:rsidRPr="009B7784">
        <w:rPr>
          <w:rFonts w:ascii="Arial" w:hAnsi="Arial" w:cs="Arial"/>
        </w:rPr>
        <w:t>Se equivoca la Administración al indicar “…</w:t>
      </w:r>
      <w:r w:rsidRPr="009B7784">
        <w:rPr>
          <w:rFonts w:ascii="Arial" w:hAnsi="Arial" w:cs="Arial"/>
          <w:i/>
        </w:rPr>
        <w:t>el régimen laboral y salarial de los educadores al servicio del estado solo puede ser reg</w:t>
      </w:r>
      <w:r w:rsidR="00F8440C" w:rsidRPr="009B7784">
        <w:rPr>
          <w:rFonts w:ascii="Arial" w:hAnsi="Arial" w:cs="Arial"/>
          <w:i/>
        </w:rPr>
        <w:t>ulado por normas específicas pr</w:t>
      </w:r>
      <w:r w:rsidRPr="009B7784">
        <w:rPr>
          <w:rFonts w:ascii="Arial" w:hAnsi="Arial" w:cs="Arial"/>
          <w:i/>
        </w:rPr>
        <w:t>oferidas por el legislativo y el ejecutivo nacional</w:t>
      </w:r>
      <w:r w:rsidRPr="009B7784">
        <w:rPr>
          <w:rFonts w:ascii="Arial" w:hAnsi="Arial" w:cs="Arial"/>
        </w:rPr>
        <w:t>…</w:t>
      </w:r>
      <w:r w:rsidR="00F8440C" w:rsidRPr="009B7784">
        <w:rPr>
          <w:rFonts w:ascii="Arial" w:hAnsi="Arial" w:cs="Arial"/>
        </w:rPr>
        <w:t xml:space="preserve">”, puesto que </w:t>
      </w:r>
      <w:r w:rsidR="0013513B" w:rsidRPr="009B7784">
        <w:rPr>
          <w:rFonts w:ascii="Arial" w:hAnsi="Arial" w:cs="Arial"/>
        </w:rPr>
        <w:t xml:space="preserve">existen </w:t>
      </w:r>
      <w:r w:rsidR="00F8440C" w:rsidRPr="009B7784">
        <w:rPr>
          <w:rFonts w:ascii="Arial" w:hAnsi="Arial" w:cs="Arial"/>
        </w:rPr>
        <w:t xml:space="preserve">los casos en donde es preciso aplicar la norma general a cambio de la especial, si la segunda le es desfavorable respecto a otros trabajadores, basándose </w:t>
      </w:r>
      <w:r w:rsidR="00F8440C" w:rsidRPr="009B7784">
        <w:rPr>
          <w:rFonts w:ascii="Arial" w:hAnsi="Arial" w:cs="Arial"/>
          <w:b/>
          <w:i/>
        </w:rPr>
        <w:t>en el</w:t>
      </w:r>
      <w:r w:rsidR="0013513B" w:rsidRPr="009B7784">
        <w:rPr>
          <w:rFonts w:ascii="Arial" w:hAnsi="Arial" w:cs="Arial"/>
          <w:b/>
          <w:i/>
        </w:rPr>
        <w:t xml:space="preserve"> </w:t>
      </w:r>
      <w:r w:rsidR="00F8440C" w:rsidRPr="009B7784">
        <w:rPr>
          <w:rFonts w:ascii="Arial" w:hAnsi="Arial" w:cs="Arial"/>
          <w:b/>
          <w:i/>
        </w:rPr>
        <w:t>principio de universalidad</w:t>
      </w:r>
      <w:r w:rsidR="0013513B" w:rsidRPr="009B7784">
        <w:rPr>
          <w:rFonts w:ascii="Arial" w:hAnsi="Arial" w:cs="Arial"/>
        </w:rPr>
        <w:t xml:space="preserve"> “cobertura de todas las personas” y en este caso los docentes dependen de la Secretaria de Educación de Bogotá, los Acuerdos fueron dictados por el Con</w:t>
      </w:r>
      <w:r w:rsidR="009B7784" w:rsidRPr="009B7784">
        <w:rPr>
          <w:rFonts w:ascii="Arial" w:hAnsi="Arial" w:cs="Arial"/>
        </w:rPr>
        <w:t>c</w:t>
      </w:r>
      <w:r w:rsidR="0013513B" w:rsidRPr="009B7784">
        <w:rPr>
          <w:rFonts w:ascii="Arial" w:hAnsi="Arial" w:cs="Arial"/>
        </w:rPr>
        <w:t>ejo de Bogotá para los empleados de establecimientos públicos</w:t>
      </w:r>
      <w:r w:rsidR="009B7784" w:rsidRPr="009B7784">
        <w:rPr>
          <w:rFonts w:ascii="Arial" w:hAnsi="Arial" w:cs="Arial"/>
        </w:rPr>
        <w:t xml:space="preserve"> distritales</w:t>
      </w:r>
      <w:r w:rsidR="0013513B" w:rsidRPr="009B7784">
        <w:rPr>
          <w:rFonts w:ascii="Arial" w:hAnsi="Arial" w:cs="Arial"/>
        </w:rPr>
        <w:t xml:space="preserve"> y los maestros trabajan en establecimientos públicos.</w:t>
      </w:r>
    </w:p>
    <w:p w:rsidR="00320EA7" w:rsidRPr="009B7784" w:rsidRDefault="00320EA7" w:rsidP="004C4F20">
      <w:pPr>
        <w:pStyle w:val="Prrafodelista"/>
        <w:ind w:left="0"/>
        <w:rPr>
          <w:rFonts w:ascii="Arial" w:hAnsi="Arial" w:cs="Arial"/>
        </w:rPr>
      </w:pPr>
    </w:p>
    <w:p w:rsidR="00320EA7" w:rsidRPr="004C4F20" w:rsidRDefault="00320EA7" w:rsidP="004C4F20">
      <w:pPr>
        <w:ind w:left="360"/>
        <w:jc w:val="both"/>
        <w:rPr>
          <w:rFonts w:ascii="Arial" w:hAnsi="Arial" w:cs="Arial"/>
          <w:i/>
        </w:rPr>
      </w:pPr>
      <w:r w:rsidRPr="004C4F20">
        <w:rPr>
          <w:rFonts w:ascii="Arial" w:hAnsi="Arial" w:cs="Arial"/>
        </w:rPr>
        <w:t>Con el argumento de la Administración se está dando un trato abiertamente discriminado, la Corte Constitucional ha señalado que “</w:t>
      </w:r>
      <w:r w:rsidRPr="004C4F20">
        <w:rPr>
          <w:rFonts w:ascii="Arial" w:hAnsi="Arial" w:cs="Arial"/>
          <w:i/>
        </w:rPr>
        <w:t xml:space="preserve">si se determina que al permitir la vigencia de regímenes especiales se perpetua un tratamiento inequitativo y menos favorable para un grupo determinado de trabajadores, frente al que se otorga a la </w:t>
      </w:r>
      <w:r w:rsidR="009D2804" w:rsidRPr="004C4F20">
        <w:rPr>
          <w:rFonts w:ascii="Arial" w:hAnsi="Arial" w:cs="Arial"/>
          <w:i/>
        </w:rPr>
        <w:t>generalidad del sector, y que el tratamiento del sector no es razonable, se configuraría un trato discriminatorio en abierta contradicción con el artículo 13 de la carta” “</w:t>
      </w:r>
      <w:r w:rsidR="00EB3E76" w:rsidRPr="004C4F20">
        <w:rPr>
          <w:rFonts w:ascii="Arial" w:hAnsi="Arial" w:cs="Arial"/>
          <w:i/>
        </w:rPr>
        <w:t>…</w:t>
      </w:r>
      <w:r w:rsidR="009D2804" w:rsidRPr="004C4F20">
        <w:rPr>
          <w:rFonts w:ascii="Arial" w:hAnsi="Arial" w:cs="Arial"/>
          <w:i/>
        </w:rPr>
        <w:t>La prestación en particular puede violar la igualdad…si es claro que la diferenciación establecida por la ley es arbitraria y desmejora de manera evidente y sin razón aparente, a los beneficiarios del régimen especial frente al régimen general” (c 956 DE 2001)</w:t>
      </w:r>
      <w:r w:rsidR="002F778B">
        <w:rPr>
          <w:rFonts w:ascii="Arial" w:hAnsi="Arial" w:cs="Arial"/>
          <w:i/>
        </w:rPr>
        <w:t>.</w:t>
      </w:r>
    </w:p>
    <w:p w:rsidR="002C3613" w:rsidRDefault="002C3613" w:rsidP="004C4F20">
      <w:pPr>
        <w:jc w:val="both"/>
        <w:rPr>
          <w:rFonts w:ascii="Arial" w:hAnsi="Arial" w:cs="Arial"/>
          <w:i/>
        </w:rPr>
      </w:pPr>
    </w:p>
    <w:p w:rsidR="007C7ABE" w:rsidRDefault="002C3613" w:rsidP="004C4F20">
      <w:pPr>
        <w:ind w:left="360"/>
        <w:rPr>
          <w:rFonts w:ascii="Arial" w:hAnsi="Arial" w:cs="Arial"/>
        </w:rPr>
      </w:pPr>
      <w:r w:rsidRPr="004C4F20">
        <w:rPr>
          <w:rFonts w:ascii="Arial" w:hAnsi="Arial" w:cs="Arial"/>
        </w:rPr>
        <w:t xml:space="preserve">De otra parte, la Corte Constitucional ha señalado: </w:t>
      </w:r>
    </w:p>
    <w:p w:rsidR="002F778B" w:rsidRPr="004C4F20" w:rsidRDefault="002F778B" w:rsidP="004C4F20">
      <w:pPr>
        <w:ind w:left="360"/>
        <w:rPr>
          <w:rFonts w:ascii="Arial" w:hAnsi="Arial" w:cs="Arial"/>
        </w:rPr>
      </w:pPr>
    </w:p>
    <w:p w:rsidR="002A2F76" w:rsidRPr="004C4F20" w:rsidRDefault="00B7670F" w:rsidP="004C4F20">
      <w:pPr>
        <w:ind w:left="360"/>
        <w:rPr>
          <w:rFonts w:ascii="Arial" w:hAnsi="Arial" w:cs="Arial"/>
          <w:i/>
        </w:rPr>
      </w:pPr>
      <w:r w:rsidRPr="004C4F20">
        <w:rPr>
          <w:rFonts w:ascii="Arial" w:hAnsi="Arial" w:cs="Arial"/>
          <w:i/>
        </w:rPr>
        <w:t>“…</w:t>
      </w:r>
      <w:r w:rsidR="003A7ED1" w:rsidRPr="004C4F20">
        <w:rPr>
          <w:rFonts w:ascii="Arial" w:hAnsi="Arial" w:cs="Arial"/>
          <w:i/>
        </w:rPr>
        <w:t>la e</w:t>
      </w:r>
      <w:r w:rsidR="00881C1F" w:rsidRPr="004C4F20">
        <w:rPr>
          <w:rFonts w:ascii="Arial" w:hAnsi="Arial" w:cs="Arial"/>
          <w:i/>
        </w:rPr>
        <w:t>q</w:t>
      </w:r>
      <w:r w:rsidR="003A7ED1" w:rsidRPr="004C4F20">
        <w:rPr>
          <w:rFonts w:ascii="Arial" w:hAnsi="Arial" w:cs="Arial"/>
          <w:i/>
        </w:rPr>
        <w:t xml:space="preserve">uidad no </w:t>
      </w:r>
      <w:r w:rsidRPr="004C4F20">
        <w:rPr>
          <w:rFonts w:ascii="Arial" w:hAnsi="Arial" w:cs="Arial"/>
          <w:i/>
        </w:rPr>
        <w:t>solo</w:t>
      </w:r>
      <w:r w:rsidR="003A7ED1" w:rsidRPr="004C4F20">
        <w:rPr>
          <w:rFonts w:ascii="Arial" w:hAnsi="Arial" w:cs="Arial"/>
          <w:i/>
        </w:rPr>
        <w:t xml:space="preserve"> es</w:t>
      </w:r>
      <w:r w:rsidRPr="004C4F20">
        <w:rPr>
          <w:rFonts w:ascii="Arial" w:hAnsi="Arial" w:cs="Arial"/>
          <w:i/>
        </w:rPr>
        <w:t xml:space="preserve"> un </w:t>
      </w:r>
      <w:r w:rsidR="003A7ED1" w:rsidRPr="004C4F20">
        <w:rPr>
          <w:rFonts w:ascii="Arial" w:hAnsi="Arial" w:cs="Arial"/>
          <w:i/>
        </w:rPr>
        <w:t>parámetro para llenar vacíos de regulación, sino también para compensar la necesidad de adecuar la ley a todos los asuntos que, materialmente, se presentan en la vida social” (Corte Constitucional, Sentencia T 953 de diciembre 4 de 2014.M.P. María Victoria Calle</w:t>
      </w:r>
      <w:r w:rsidR="002A2F76" w:rsidRPr="004C4F20">
        <w:rPr>
          <w:rFonts w:ascii="Arial" w:hAnsi="Arial" w:cs="Arial"/>
          <w:i/>
        </w:rPr>
        <w:t>)</w:t>
      </w:r>
    </w:p>
    <w:p w:rsidR="00C97763" w:rsidRPr="009B7784" w:rsidRDefault="00C97763" w:rsidP="004C4F20">
      <w:pPr>
        <w:rPr>
          <w:rFonts w:ascii="Arial" w:hAnsi="Arial" w:cs="Arial"/>
        </w:rPr>
      </w:pPr>
    </w:p>
    <w:p w:rsidR="00FD4EE3" w:rsidRPr="009B7784" w:rsidRDefault="002A2F76" w:rsidP="004C4F20">
      <w:pPr>
        <w:pStyle w:val="Prrafodelista"/>
        <w:numPr>
          <w:ilvl w:val="0"/>
          <w:numId w:val="5"/>
        </w:numPr>
        <w:ind w:left="360"/>
        <w:jc w:val="both"/>
        <w:rPr>
          <w:rFonts w:ascii="Arial" w:eastAsia="Calibri" w:hAnsi="Arial" w:cs="Arial"/>
          <w:lang w:val="es-CO" w:eastAsia="en-US"/>
        </w:rPr>
      </w:pPr>
      <w:r w:rsidRPr="009B7784">
        <w:rPr>
          <w:rFonts w:ascii="Arial" w:hAnsi="Arial" w:cs="Arial"/>
        </w:rPr>
        <w:lastRenderedPageBreak/>
        <w:t>Si bien es cierto que para la fecha no le es posible al Con</w:t>
      </w:r>
      <w:r w:rsidR="009B7784" w:rsidRPr="009B7784">
        <w:rPr>
          <w:rFonts w:ascii="Arial" w:hAnsi="Arial" w:cs="Arial"/>
        </w:rPr>
        <w:t>c</w:t>
      </w:r>
      <w:r w:rsidRPr="009B7784">
        <w:rPr>
          <w:rFonts w:ascii="Arial" w:hAnsi="Arial" w:cs="Arial"/>
        </w:rPr>
        <w:t xml:space="preserve">ejo </w:t>
      </w:r>
      <w:r w:rsidR="002C3613">
        <w:rPr>
          <w:rFonts w:ascii="Arial" w:hAnsi="Arial" w:cs="Arial"/>
        </w:rPr>
        <w:t xml:space="preserve">de Bogotá, D.C., </w:t>
      </w:r>
      <w:r w:rsidRPr="009B7784">
        <w:rPr>
          <w:rFonts w:ascii="Arial" w:hAnsi="Arial" w:cs="Arial"/>
        </w:rPr>
        <w:t xml:space="preserve">regular factores </w:t>
      </w:r>
      <w:r w:rsidR="0069287F" w:rsidRPr="009B7784">
        <w:rPr>
          <w:rFonts w:ascii="Arial" w:hAnsi="Arial" w:cs="Arial"/>
        </w:rPr>
        <w:t>salariales,</w:t>
      </w:r>
      <w:r w:rsidRPr="009B7784">
        <w:rPr>
          <w:rFonts w:ascii="Arial" w:hAnsi="Arial" w:cs="Arial"/>
        </w:rPr>
        <w:t xml:space="preserve"> en virtud del artículo 150 de la constitución política, hay que tener en cuenta que no se está solicitando se disponga de un nuevo </w:t>
      </w:r>
      <w:r w:rsidR="0069287F" w:rsidRPr="009B7784">
        <w:rPr>
          <w:rFonts w:ascii="Arial" w:hAnsi="Arial" w:cs="Arial"/>
        </w:rPr>
        <w:t>Acuerdo,</w:t>
      </w:r>
      <w:r w:rsidRPr="009B7784">
        <w:rPr>
          <w:rFonts w:ascii="Arial" w:hAnsi="Arial" w:cs="Arial"/>
        </w:rPr>
        <w:t xml:space="preserve"> sino que se dé aplicación a los Acuerdos</w:t>
      </w:r>
      <w:r w:rsidR="00FD4EE3" w:rsidRPr="009B7784">
        <w:rPr>
          <w:rFonts w:ascii="Arial" w:eastAsia="Calibri" w:hAnsi="Arial" w:cs="Arial"/>
          <w:lang w:val="es-CO" w:eastAsia="en-US"/>
        </w:rPr>
        <w:t xml:space="preserve"> 06 del 11 de diciembre de 1986, 025 del 08 de diciembre 1990 (modifica el Acuerdo 14 de 1977 -reglamentado por el Decreto 691 de 1978) y 92 de 2003.</w:t>
      </w:r>
    </w:p>
    <w:p w:rsidR="00FD4EE3" w:rsidRPr="009B7784" w:rsidRDefault="00FD4EE3" w:rsidP="004C4F20">
      <w:pPr>
        <w:pStyle w:val="Prrafodelista"/>
        <w:ind w:left="0"/>
        <w:rPr>
          <w:rFonts w:ascii="Arial" w:hAnsi="Arial" w:cs="Arial"/>
        </w:rPr>
      </w:pPr>
    </w:p>
    <w:p w:rsidR="00395823" w:rsidRPr="004C4F20" w:rsidRDefault="00C97763" w:rsidP="004C4F20">
      <w:pPr>
        <w:pStyle w:val="Prrafodelista"/>
        <w:numPr>
          <w:ilvl w:val="0"/>
          <w:numId w:val="5"/>
        </w:numPr>
        <w:ind w:left="360"/>
        <w:jc w:val="both"/>
        <w:rPr>
          <w:rFonts w:ascii="Arial" w:eastAsia="Calibri" w:hAnsi="Arial" w:cs="Arial"/>
          <w:lang w:val="es-CO" w:eastAsia="en-US"/>
        </w:rPr>
      </w:pPr>
      <w:r w:rsidRPr="004C4F20">
        <w:rPr>
          <w:rFonts w:ascii="Arial" w:hAnsi="Arial" w:cs="Arial"/>
        </w:rPr>
        <w:t>Reitero que</w:t>
      </w:r>
      <w:r w:rsidR="009B7784" w:rsidRPr="004C4F20">
        <w:rPr>
          <w:rFonts w:ascii="Arial" w:hAnsi="Arial" w:cs="Arial"/>
        </w:rPr>
        <w:t xml:space="preserve"> l</w:t>
      </w:r>
      <w:r w:rsidR="00395823" w:rsidRPr="004C4F20">
        <w:rPr>
          <w:rFonts w:ascii="Arial" w:eastAsia="Calibri" w:hAnsi="Arial" w:cs="Arial"/>
          <w:lang w:val="es-CO" w:eastAsia="en-US"/>
        </w:rPr>
        <w:t>a Sala de Consulta del servicio civil del Consejo de Estado ha señalado</w:t>
      </w:r>
      <w:r w:rsidR="00395823" w:rsidRPr="004C4F20">
        <w:rPr>
          <w:rFonts w:ascii="Arial" w:eastAsia="Calibri" w:hAnsi="Arial" w:cs="Arial"/>
          <w:i/>
          <w:lang w:val="es-CO" w:eastAsia="en-US"/>
        </w:rPr>
        <w:t>: “…los trabajadores pueden seguir devengando la prima académica, si la obtuvo antes de la Constitución de 1991 y esta debe ser asumida por el gobierno a cargo del S. G. P. o con recursos propios, según el caso” (</w:t>
      </w:r>
      <w:r w:rsidR="00395823" w:rsidRPr="004C4F20">
        <w:rPr>
          <w:rFonts w:ascii="Arial" w:eastAsia="Calibri" w:hAnsi="Arial" w:cs="Arial"/>
          <w:lang w:val="es-CO" w:eastAsia="en-US"/>
        </w:rPr>
        <w:t>Concepto de la Sala Civil del Consejo de Estado N°1518 del 11 de septiembre de 2011)</w:t>
      </w:r>
      <w:r w:rsidR="004C4F20" w:rsidRPr="004C4F20">
        <w:rPr>
          <w:rFonts w:ascii="Arial" w:eastAsia="Calibri" w:hAnsi="Arial" w:cs="Arial"/>
          <w:lang w:val="es-CO" w:eastAsia="en-US"/>
        </w:rPr>
        <w:t>.</w:t>
      </w:r>
      <w:r w:rsidR="004C4F20">
        <w:rPr>
          <w:rFonts w:ascii="Arial" w:eastAsia="Calibri" w:hAnsi="Arial" w:cs="Arial"/>
          <w:lang w:val="es-CO" w:eastAsia="en-US"/>
        </w:rPr>
        <w:t xml:space="preserve">  </w:t>
      </w:r>
      <w:r w:rsidR="00395823" w:rsidRPr="004C4F20">
        <w:rPr>
          <w:rFonts w:ascii="Arial" w:eastAsia="Calibri" w:hAnsi="Arial" w:cs="Arial"/>
          <w:lang w:val="es-CO" w:eastAsia="en-US"/>
        </w:rPr>
        <w:t>Vale señalar que la misma suerte la corren las primas en comento</w:t>
      </w:r>
    </w:p>
    <w:p w:rsidR="00395823" w:rsidRPr="009B7784" w:rsidRDefault="00395823" w:rsidP="00395823">
      <w:pPr>
        <w:ind w:left="360"/>
        <w:contextualSpacing/>
        <w:jc w:val="both"/>
        <w:rPr>
          <w:rFonts w:ascii="Arial" w:eastAsia="Calibri" w:hAnsi="Arial" w:cs="Arial"/>
          <w:i/>
          <w:lang w:val="es-CO" w:eastAsia="en-US"/>
        </w:rPr>
      </w:pPr>
    </w:p>
    <w:p w:rsidR="00395823" w:rsidRPr="009B7784" w:rsidRDefault="009B7784" w:rsidP="00395823">
      <w:pPr>
        <w:ind w:left="360"/>
        <w:jc w:val="both"/>
        <w:rPr>
          <w:rFonts w:ascii="Arial" w:hAnsi="Arial" w:cs="Arial"/>
          <w:color w:val="000000"/>
          <w:shd w:val="clear" w:color="auto" w:fill="FFFFFF"/>
          <w:lang w:val="es-CO" w:eastAsia="es-CO"/>
        </w:rPr>
      </w:pPr>
      <w:r w:rsidRPr="009B7784">
        <w:rPr>
          <w:rFonts w:ascii="Arial" w:hAnsi="Arial" w:cs="Arial"/>
          <w:color w:val="000000"/>
          <w:shd w:val="clear" w:color="auto" w:fill="FFFFFF"/>
          <w:lang w:val="es-CO" w:eastAsia="es-CO"/>
        </w:rPr>
        <w:t xml:space="preserve">De otra parte, </w:t>
      </w:r>
      <w:r w:rsidR="00395823" w:rsidRPr="009B7784">
        <w:rPr>
          <w:rFonts w:ascii="Arial" w:hAnsi="Arial" w:cs="Arial"/>
          <w:color w:val="000000"/>
          <w:shd w:val="clear" w:color="auto" w:fill="FFFFFF"/>
          <w:lang w:val="es-CO" w:eastAsia="es-CO"/>
        </w:rPr>
        <w:t>La Ley 91 de 1989 en el Artículo 15 consagro:</w:t>
      </w:r>
    </w:p>
    <w:p w:rsidR="00395823" w:rsidRPr="009B7784" w:rsidRDefault="00395823" w:rsidP="00395823">
      <w:pPr>
        <w:ind w:left="360"/>
        <w:jc w:val="both"/>
        <w:rPr>
          <w:rFonts w:ascii="Arial" w:hAnsi="Arial" w:cs="Arial"/>
          <w:color w:val="000000"/>
          <w:shd w:val="clear" w:color="auto" w:fill="FFFFFF"/>
          <w:lang w:val="es-CO" w:eastAsia="es-CO"/>
        </w:rPr>
      </w:pPr>
    </w:p>
    <w:p w:rsidR="00395823" w:rsidRPr="009B7784" w:rsidRDefault="00395823" w:rsidP="00561F74">
      <w:pPr>
        <w:ind w:left="360"/>
        <w:jc w:val="both"/>
        <w:rPr>
          <w:rFonts w:ascii="Arial" w:hAnsi="Arial" w:cs="Arial"/>
          <w:i/>
          <w:color w:val="000000"/>
          <w:shd w:val="clear" w:color="auto" w:fill="FFFFFF"/>
          <w:lang w:val="es-CO" w:eastAsia="es-CO"/>
        </w:rPr>
      </w:pPr>
      <w:r w:rsidRPr="009B7784">
        <w:rPr>
          <w:rFonts w:ascii="Arial" w:hAnsi="Arial" w:cs="Arial"/>
          <w:i/>
          <w:color w:val="000000"/>
          <w:shd w:val="clear" w:color="auto" w:fill="FFFFFF"/>
          <w:lang w:val="es-CO" w:eastAsia="es-CO"/>
        </w:rPr>
        <w:t>“1. Los docentes nacionalizados que fueron vinculados hasta el 31 de diciembre de 1989, para efectos de las prestaciones económicas y sociales, mantendrán el régimen prestacional que han venido gozando en cada entidad territorial de conformidad con las normas vigentes.</w:t>
      </w:r>
    </w:p>
    <w:p w:rsidR="00395823" w:rsidRPr="009B7784" w:rsidRDefault="00395823" w:rsidP="00395823">
      <w:pPr>
        <w:ind w:left="360"/>
        <w:jc w:val="both"/>
        <w:rPr>
          <w:rFonts w:ascii="Arial" w:hAnsi="Arial" w:cs="Arial"/>
          <w:i/>
          <w:color w:val="000000"/>
          <w:shd w:val="clear" w:color="auto" w:fill="FFFFFF"/>
          <w:lang w:val="es-CO" w:eastAsia="es-CO"/>
        </w:rPr>
      </w:pPr>
      <w:r w:rsidRPr="009B7784">
        <w:rPr>
          <w:rFonts w:ascii="Arial" w:hAnsi="Arial" w:cs="Arial"/>
          <w:i/>
          <w:color w:val="000000"/>
          <w:shd w:val="clear" w:color="auto" w:fill="FFFFFF"/>
          <w:lang w:val="es-CO" w:eastAsia="es-CO"/>
        </w:rPr>
        <w:t>Los docentes nacionales y los que se vinculen a partir del 1° de enero de 1990, para efectos de las prestaciones económicas y sociales se regirán por las normas vigentes aplicables a los empleados públicos del orden nacional, Decretos 3135 de 1968, 1848 de 1969 y 1045 de 1978 o que expidan en el futuro, con las excepciones consagradas en la  Ley”</w:t>
      </w:r>
      <w:r w:rsidR="002F778B">
        <w:rPr>
          <w:rFonts w:ascii="Arial" w:hAnsi="Arial" w:cs="Arial"/>
          <w:i/>
          <w:color w:val="000000"/>
          <w:shd w:val="clear" w:color="auto" w:fill="FFFFFF"/>
          <w:lang w:val="es-CO" w:eastAsia="es-CO"/>
        </w:rPr>
        <w:t>.</w:t>
      </w:r>
    </w:p>
    <w:p w:rsidR="00C97763" w:rsidRPr="009B7784" w:rsidRDefault="00C97763" w:rsidP="0040569C">
      <w:pPr>
        <w:pStyle w:val="Prrafodelista"/>
        <w:ind w:left="360"/>
        <w:rPr>
          <w:rFonts w:ascii="Arial" w:hAnsi="Arial" w:cs="Arial"/>
        </w:rPr>
      </w:pPr>
    </w:p>
    <w:p w:rsidR="00B049D7" w:rsidRPr="009B7784" w:rsidRDefault="00B049D7" w:rsidP="00B049D7">
      <w:pPr>
        <w:jc w:val="center"/>
        <w:rPr>
          <w:rFonts w:ascii="Arial" w:hAnsi="Arial" w:cs="Arial"/>
          <w:b/>
        </w:rPr>
      </w:pPr>
      <w:r w:rsidRPr="009B7784">
        <w:rPr>
          <w:rFonts w:ascii="Arial" w:hAnsi="Arial" w:cs="Arial"/>
          <w:b/>
        </w:rPr>
        <w:t>NORMAS APLICABLES</w:t>
      </w:r>
    </w:p>
    <w:p w:rsidR="00B049D7" w:rsidRPr="009B7784" w:rsidRDefault="00B049D7" w:rsidP="00B049D7">
      <w:pPr>
        <w:jc w:val="both"/>
        <w:rPr>
          <w:rFonts w:ascii="Arial" w:hAnsi="Arial" w:cs="Arial"/>
        </w:rPr>
      </w:pPr>
    </w:p>
    <w:p w:rsidR="00B049D7" w:rsidRPr="009B7784" w:rsidRDefault="00B049D7" w:rsidP="00561F74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</w:rPr>
      </w:pPr>
      <w:r w:rsidRPr="009B7784">
        <w:rPr>
          <w:rFonts w:ascii="Arial" w:hAnsi="Arial" w:cs="Arial"/>
        </w:rPr>
        <w:t>Constitución Política, Artículos 2º, 5º, 6º, 13, 25, 53º,150.</w:t>
      </w:r>
    </w:p>
    <w:p w:rsidR="00B049D7" w:rsidRPr="009B7784" w:rsidRDefault="00B049D7" w:rsidP="00561F74">
      <w:pPr>
        <w:numPr>
          <w:ilvl w:val="0"/>
          <w:numId w:val="3"/>
        </w:numPr>
        <w:ind w:left="360"/>
        <w:jc w:val="both"/>
        <w:rPr>
          <w:rFonts w:ascii="Arial" w:hAnsi="Arial" w:cs="Arial"/>
        </w:rPr>
      </w:pPr>
      <w:r w:rsidRPr="009B7784">
        <w:rPr>
          <w:rFonts w:ascii="Arial" w:hAnsi="Arial" w:cs="Arial"/>
        </w:rPr>
        <w:t xml:space="preserve">Leyes: </w:t>
      </w:r>
      <w:r w:rsidR="0069287F" w:rsidRPr="009B7784">
        <w:rPr>
          <w:rFonts w:ascii="Arial" w:hAnsi="Arial" w:cs="Arial"/>
        </w:rPr>
        <w:t>1450 del 16 de junio de 2011, artículo 148</w:t>
      </w:r>
      <w:r w:rsidR="002F778B">
        <w:rPr>
          <w:rFonts w:ascii="Arial" w:hAnsi="Arial" w:cs="Arial"/>
        </w:rPr>
        <w:t>, 91/89.</w:t>
      </w:r>
    </w:p>
    <w:p w:rsidR="0069287F" w:rsidRPr="00E10622" w:rsidRDefault="0069287F" w:rsidP="00561F74">
      <w:pPr>
        <w:pStyle w:val="Prrafodelista"/>
        <w:numPr>
          <w:ilvl w:val="0"/>
          <w:numId w:val="3"/>
        </w:numPr>
        <w:ind w:left="360"/>
        <w:jc w:val="both"/>
        <w:rPr>
          <w:rFonts w:ascii="Arial" w:hAnsi="Arial" w:cs="Arial"/>
        </w:rPr>
      </w:pPr>
      <w:r w:rsidRPr="00E10622">
        <w:rPr>
          <w:rFonts w:ascii="Arial" w:hAnsi="Arial" w:cs="Arial"/>
        </w:rPr>
        <w:t>Acuerdos 06 del 11 de diciembre de 1986,  Acuerdo 025 del 08 de diciembre 1990 (modifica el Acuerdo 14 de 1977 -reglamentado por el Decreto 691 de 1978) y el Acuerdo 92 de 2003.</w:t>
      </w:r>
    </w:p>
    <w:p w:rsidR="00B049D7" w:rsidRPr="009B7784" w:rsidRDefault="00B049D7" w:rsidP="00561F74">
      <w:pPr>
        <w:jc w:val="both"/>
        <w:rPr>
          <w:rFonts w:ascii="Arial" w:hAnsi="Arial" w:cs="Arial"/>
        </w:rPr>
      </w:pPr>
    </w:p>
    <w:p w:rsidR="00B049D7" w:rsidRDefault="00B049D7" w:rsidP="00B049D7">
      <w:pPr>
        <w:jc w:val="center"/>
        <w:rPr>
          <w:rFonts w:ascii="Arial" w:hAnsi="Arial" w:cs="Arial"/>
          <w:b/>
        </w:rPr>
      </w:pPr>
      <w:r w:rsidRPr="009B7784">
        <w:rPr>
          <w:rFonts w:ascii="Arial" w:hAnsi="Arial" w:cs="Arial"/>
          <w:b/>
        </w:rPr>
        <w:t>PETICIÓN</w:t>
      </w:r>
    </w:p>
    <w:p w:rsidR="00E10622" w:rsidRDefault="00E10622" w:rsidP="00B049D7">
      <w:pPr>
        <w:jc w:val="center"/>
        <w:rPr>
          <w:rFonts w:ascii="Arial" w:hAnsi="Arial" w:cs="Arial"/>
          <w:b/>
        </w:rPr>
      </w:pPr>
    </w:p>
    <w:p w:rsidR="00E10622" w:rsidRPr="009B7784" w:rsidRDefault="00E10622" w:rsidP="00E10622">
      <w:pPr>
        <w:jc w:val="both"/>
        <w:rPr>
          <w:rFonts w:ascii="Arial" w:hAnsi="Arial" w:cs="Arial"/>
        </w:rPr>
      </w:pPr>
      <w:r w:rsidRPr="00E10622">
        <w:rPr>
          <w:rFonts w:ascii="Arial" w:hAnsi="Arial" w:cs="Arial"/>
        </w:rPr>
        <w:t xml:space="preserve">Teniendo en cuenta las anteriores consideraciones de hecho y derecho comedidamente solicito </w:t>
      </w:r>
      <w:r w:rsidRPr="00E10622">
        <w:rPr>
          <w:rFonts w:ascii="Arial" w:hAnsi="Arial" w:cs="Arial"/>
          <w:b/>
        </w:rPr>
        <w:t xml:space="preserve">se REVOQUE LA RESOLUCION RECURRIDA, y como consecuencia de ello, se expida un nuevo Acto Administrativo que reconozca, liquide y pague </w:t>
      </w:r>
      <w:r w:rsidRPr="009B7784">
        <w:rPr>
          <w:rFonts w:ascii="Arial" w:hAnsi="Arial" w:cs="Arial"/>
        </w:rPr>
        <w:t>las primas de antigüedad, semestral y bonificación por servicios prestados</w:t>
      </w:r>
      <w:r w:rsidR="002C3613">
        <w:rPr>
          <w:rFonts w:ascii="Arial" w:hAnsi="Arial" w:cs="Arial"/>
        </w:rPr>
        <w:t xml:space="preserve">, según los Acuerdos ampliamente </w:t>
      </w:r>
      <w:r w:rsidR="001C635F">
        <w:rPr>
          <w:rFonts w:ascii="Arial" w:hAnsi="Arial" w:cs="Arial"/>
        </w:rPr>
        <w:t>referenciados.</w:t>
      </w:r>
    </w:p>
    <w:p w:rsidR="0069287F" w:rsidRPr="009B7784" w:rsidRDefault="0069287F" w:rsidP="0069287F">
      <w:pPr>
        <w:jc w:val="both"/>
        <w:rPr>
          <w:rFonts w:ascii="Arial" w:hAnsi="Arial" w:cs="Arial"/>
        </w:rPr>
      </w:pPr>
    </w:p>
    <w:p w:rsidR="00B049D7" w:rsidRPr="009B7784" w:rsidRDefault="00B049D7" w:rsidP="00B049D7">
      <w:pPr>
        <w:jc w:val="center"/>
        <w:rPr>
          <w:rFonts w:ascii="Arial" w:hAnsi="Arial" w:cs="Arial"/>
          <w:b/>
        </w:rPr>
      </w:pPr>
      <w:r w:rsidRPr="009B7784">
        <w:rPr>
          <w:rFonts w:ascii="Arial" w:hAnsi="Arial" w:cs="Arial"/>
          <w:b/>
        </w:rPr>
        <w:t>NOTIFICACI</w:t>
      </w:r>
      <w:r w:rsidR="001C635F">
        <w:rPr>
          <w:rFonts w:ascii="Arial" w:hAnsi="Arial" w:cs="Arial"/>
          <w:b/>
        </w:rPr>
        <w:t>Ó</w:t>
      </w:r>
      <w:r w:rsidRPr="009B7784">
        <w:rPr>
          <w:rFonts w:ascii="Arial" w:hAnsi="Arial" w:cs="Arial"/>
          <w:b/>
        </w:rPr>
        <w:t>N</w:t>
      </w:r>
    </w:p>
    <w:p w:rsidR="00B049D7" w:rsidRPr="009B7784" w:rsidRDefault="00B049D7" w:rsidP="00B049D7">
      <w:pPr>
        <w:jc w:val="center"/>
        <w:rPr>
          <w:rFonts w:ascii="Arial" w:hAnsi="Arial" w:cs="Arial"/>
          <w:b/>
        </w:rPr>
      </w:pPr>
    </w:p>
    <w:p w:rsidR="00B049D7" w:rsidRPr="009B7784" w:rsidRDefault="00B049D7" w:rsidP="00B049D7">
      <w:pPr>
        <w:jc w:val="both"/>
        <w:rPr>
          <w:rFonts w:ascii="Arial" w:hAnsi="Arial" w:cs="Arial"/>
        </w:rPr>
      </w:pPr>
      <w:r w:rsidRPr="009B7784">
        <w:rPr>
          <w:rFonts w:ascii="Arial" w:hAnsi="Arial" w:cs="Arial"/>
        </w:rPr>
        <w:t>Recibo notificación en: ___________________________________________, teléfono ________________, celular ______________</w:t>
      </w:r>
    </w:p>
    <w:p w:rsidR="00B049D7" w:rsidRPr="009B7784" w:rsidRDefault="00B049D7" w:rsidP="00B049D7">
      <w:pPr>
        <w:jc w:val="both"/>
        <w:rPr>
          <w:rFonts w:ascii="Arial" w:hAnsi="Arial" w:cs="Arial"/>
        </w:rPr>
      </w:pPr>
    </w:p>
    <w:p w:rsidR="00B049D7" w:rsidRPr="009B7784" w:rsidRDefault="00B049D7" w:rsidP="00B049D7">
      <w:pPr>
        <w:jc w:val="both"/>
        <w:rPr>
          <w:rFonts w:ascii="Arial" w:hAnsi="Arial" w:cs="Arial"/>
        </w:rPr>
      </w:pPr>
    </w:p>
    <w:p w:rsidR="00B049D7" w:rsidRPr="009B7784" w:rsidRDefault="00B049D7" w:rsidP="00B049D7">
      <w:pPr>
        <w:jc w:val="both"/>
        <w:rPr>
          <w:rFonts w:ascii="Arial" w:hAnsi="Arial" w:cs="Arial"/>
        </w:rPr>
      </w:pPr>
      <w:r w:rsidRPr="009B7784">
        <w:rPr>
          <w:rFonts w:ascii="Arial" w:hAnsi="Arial" w:cs="Arial"/>
        </w:rPr>
        <w:t>Atentamente,</w:t>
      </w:r>
    </w:p>
    <w:p w:rsidR="00B049D7" w:rsidRPr="009B7784" w:rsidRDefault="00B049D7" w:rsidP="00B049D7">
      <w:pPr>
        <w:jc w:val="both"/>
        <w:rPr>
          <w:rFonts w:ascii="Arial" w:hAnsi="Arial" w:cs="Arial"/>
        </w:rPr>
      </w:pPr>
    </w:p>
    <w:p w:rsidR="00B049D7" w:rsidRPr="009B7784" w:rsidRDefault="00B049D7" w:rsidP="00B049D7">
      <w:pPr>
        <w:jc w:val="both"/>
        <w:rPr>
          <w:rFonts w:ascii="Arial" w:hAnsi="Arial" w:cs="Arial"/>
        </w:rPr>
      </w:pPr>
    </w:p>
    <w:p w:rsidR="00B049D7" w:rsidRPr="009B7784" w:rsidRDefault="00B049D7" w:rsidP="00B049D7">
      <w:pPr>
        <w:jc w:val="both"/>
        <w:rPr>
          <w:rFonts w:ascii="Arial" w:hAnsi="Arial" w:cs="Arial"/>
        </w:rPr>
      </w:pPr>
    </w:p>
    <w:p w:rsidR="00B049D7" w:rsidRPr="009B7784" w:rsidRDefault="00B049D7" w:rsidP="00B049D7">
      <w:pPr>
        <w:jc w:val="both"/>
        <w:rPr>
          <w:rFonts w:ascii="Arial" w:hAnsi="Arial" w:cs="Arial"/>
        </w:rPr>
      </w:pPr>
      <w:r w:rsidRPr="009B7784">
        <w:rPr>
          <w:rFonts w:ascii="Arial" w:hAnsi="Arial" w:cs="Arial"/>
        </w:rPr>
        <w:t>____________________________</w:t>
      </w:r>
    </w:p>
    <w:p w:rsidR="00B049D7" w:rsidRPr="009B7784" w:rsidRDefault="00B049D7" w:rsidP="00B049D7">
      <w:pPr>
        <w:jc w:val="both"/>
        <w:rPr>
          <w:rFonts w:ascii="Arial" w:hAnsi="Arial" w:cs="Arial"/>
        </w:rPr>
      </w:pPr>
      <w:r w:rsidRPr="009B7784">
        <w:rPr>
          <w:rFonts w:ascii="Arial" w:hAnsi="Arial" w:cs="Arial"/>
        </w:rPr>
        <w:t xml:space="preserve">Nombre: </w:t>
      </w:r>
    </w:p>
    <w:p w:rsidR="00B049D7" w:rsidRPr="009B7784" w:rsidRDefault="00B049D7" w:rsidP="00B049D7">
      <w:pPr>
        <w:jc w:val="both"/>
        <w:rPr>
          <w:rFonts w:ascii="Arial" w:hAnsi="Arial" w:cs="Arial"/>
        </w:rPr>
      </w:pPr>
      <w:r w:rsidRPr="009B7784">
        <w:rPr>
          <w:rFonts w:ascii="Arial" w:hAnsi="Arial" w:cs="Arial"/>
        </w:rPr>
        <w:t xml:space="preserve">C.C.  ___________ </w:t>
      </w:r>
      <w:proofErr w:type="gramStart"/>
      <w:r w:rsidRPr="009B7784">
        <w:rPr>
          <w:rFonts w:ascii="Arial" w:hAnsi="Arial" w:cs="Arial"/>
        </w:rPr>
        <w:t>de</w:t>
      </w:r>
      <w:proofErr w:type="gramEnd"/>
      <w:r w:rsidRPr="009B7784">
        <w:rPr>
          <w:rFonts w:ascii="Arial" w:hAnsi="Arial" w:cs="Arial"/>
        </w:rPr>
        <w:t xml:space="preserve"> _________</w:t>
      </w:r>
    </w:p>
    <w:p w:rsidR="00B049D7" w:rsidRPr="009B7784" w:rsidRDefault="00B049D7" w:rsidP="00B049D7">
      <w:pPr>
        <w:rPr>
          <w:rFonts w:ascii="Arial" w:hAnsi="Arial" w:cs="Arial"/>
        </w:rPr>
      </w:pPr>
    </w:p>
    <w:p w:rsidR="00B049D7" w:rsidRPr="009B7784" w:rsidRDefault="00B049D7" w:rsidP="00B049D7">
      <w:pPr>
        <w:rPr>
          <w:rFonts w:ascii="Arial" w:hAnsi="Arial" w:cs="Arial"/>
        </w:rPr>
      </w:pPr>
    </w:p>
    <w:p w:rsidR="00B049D7" w:rsidRPr="009B7784" w:rsidRDefault="00B049D7" w:rsidP="0040569C">
      <w:pPr>
        <w:pStyle w:val="Prrafodelista"/>
        <w:ind w:left="360"/>
        <w:rPr>
          <w:rFonts w:ascii="Arial" w:hAnsi="Arial" w:cs="Arial"/>
        </w:rPr>
      </w:pPr>
    </w:p>
    <w:sectPr w:rsidR="00B049D7" w:rsidRPr="009B7784" w:rsidSect="004C4F20">
      <w:pgSz w:w="12242" w:h="19442" w:code="190"/>
      <w:pgMar w:top="1417" w:right="1185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B2ED1"/>
    <w:multiLevelType w:val="hybridMultilevel"/>
    <w:tmpl w:val="7B42202C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0949E6"/>
    <w:multiLevelType w:val="hybridMultilevel"/>
    <w:tmpl w:val="9A0A133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BE7E04"/>
    <w:multiLevelType w:val="hybridMultilevel"/>
    <w:tmpl w:val="12FEE9A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A48E8B6C">
      <w:start w:val="5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9FB6835"/>
    <w:multiLevelType w:val="hybridMultilevel"/>
    <w:tmpl w:val="162E32F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089"/>
    <w:rsid w:val="000249DB"/>
    <w:rsid w:val="000542A2"/>
    <w:rsid w:val="0013513B"/>
    <w:rsid w:val="001C635F"/>
    <w:rsid w:val="001F0563"/>
    <w:rsid w:val="00275755"/>
    <w:rsid w:val="002839AF"/>
    <w:rsid w:val="002A2F76"/>
    <w:rsid w:val="002C3613"/>
    <w:rsid w:val="002F0015"/>
    <w:rsid w:val="002F778B"/>
    <w:rsid w:val="00320EA7"/>
    <w:rsid w:val="00395823"/>
    <w:rsid w:val="003A7ED1"/>
    <w:rsid w:val="0040569C"/>
    <w:rsid w:val="0043718E"/>
    <w:rsid w:val="004C4F20"/>
    <w:rsid w:val="004D614C"/>
    <w:rsid w:val="00522A0C"/>
    <w:rsid w:val="00561F74"/>
    <w:rsid w:val="0058088F"/>
    <w:rsid w:val="006603C9"/>
    <w:rsid w:val="0069287F"/>
    <w:rsid w:val="00724AA0"/>
    <w:rsid w:val="007C7ABE"/>
    <w:rsid w:val="00812263"/>
    <w:rsid w:val="00837DD3"/>
    <w:rsid w:val="00881C1F"/>
    <w:rsid w:val="00964B48"/>
    <w:rsid w:val="009B7784"/>
    <w:rsid w:val="009D2804"/>
    <w:rsid w:val="00A31551"/>
    <w:rsid w:val="00AB218C"/>
    <w:rsid w:val="00AF4EBC"/>
    <w:rsid w:val="00B049D7"/>
    <w:rsid w:val="00B15089"/>
    <w:rsid w:val="00B7670F"/>
    <w:rsid w:val="00C97763"/>
    <w:rsid w:val="00E10622"/>
    <w:rsid w:val="00EA707E"/>
    <w:rsid w:val="00EB3E76"/>
    <w:rsid w:val="00ED59C1"/>
    <w:rsid w:val="00EF5152"/>
    <w:rsid w:val="00F8440C"/>
    <w:rsid w:val="00FD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81C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81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3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876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2015-06-09T21:40:00Z</cp:lastPrinted>
  <dcterms:created xsi:type="dcterms:W3CDTF">2015-08-10T21:23:00Z</dcterms:created>
  <dcterms:modified xsi:type="dcterms:W3CDTF">2016-03-14T21:01:00Z</dcterms:modified>
</cp:coreProperties>
</file>